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ascii="微软雅黑" w:hAnsi="微软雅黑" w:eastAsia="微软雅黑" w:cs="微软雅黑"/>
          <w:b/>
          <w:color w:val="auto"/>
          <w:sz w:val="30"/>
          <w:szCs w:val="30"/>
        </w:rPr>
      </w:pPr>
      <w:bookmarkStart w:id="0" w:name="_GoBack"/>
      <w:r>
        <w:rPr>
          <w:rFonts w:hint="eastAsia" w:ascii="微软雅黑" w:hAnsi="微软雅黑" w:eastAsia="微软雅黑" w:cs="微软雅黑"/>
          <w:b/>
          <w:color w:val="auto"/>
          <w:sz w:val="30"/>
          <w:szCs w:val="30"/>
          <w:bdr w:val="none" w:color="auto" w:sz="0" w:space="0"/>
          <w:shd w:val="clear" w:fill="FFFFFF"/>
        </w:rPr>
        <w:t>教育部关于一流本科课程建设的实施意见</w:t>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教高〔2019〕8号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课程是人才培养的核心要素，课程质量直接决定人才培养质量。为贯彻落实习近平总书记关于教育的重要论述和全国教育大会精神，落实新时代全国高等学校本科教育工作会议要求，必须深化教育教学改革，必须把教学改革成果落实到课程建设上。现就一流本科课程建设提出如下实施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一、总体要求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以习近平新时代中国特色社会主义思想为指导，贯彻落实党的十九大精神，落实立德树人根本任务，把立德树人成效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（二）总体目标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（三）基本原则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——坚持分类建设。依据高校办学定位和人才培养目标定位，建设适应创新型、复合型、应用型人才培养需要的一流本科课程，实现不同类型高校一流本科课程建设全覆盖。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坚持扶强扶特。着力引导“双一流”建设高校、部省合建高校发挥引领示范作用，重点打造一批高水平课程，为卓越拔尖人才培养提供有力支撑。重点支持已有建设基础、取得明显教学成效的课程，让优的更优、强的更强。重视特色课程建设，实现一流本科课程多样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提升高阶性。课程目标坚持知识、能力、素质有机融合，培养学生解决复杂问题的综合能力和高级思维。课程内容强调广度和深度，突破习惯性认知模式，培养学生深度分析、大胆质疑、勇于创新的精神和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——突出创新性。教学内容体现前沿性与时代性，及时将学术研究、科技发展前沿成果引入课程。教学方法体现先进性与互动性，大力推进现代信息技术与教学深度融合，积极引导学生进行探究式与个性化学习。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增加挑战度。课程设计增加研究性、创新性、综合性内容，加大学生学习投入，科学“增负”，让学生体验“跳一跳才能够得着”的学习挑战。严格考核考试评价，增强学生经过刻苦学习收获能力和素质提高的成就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二、建设内容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转变观念，理念新起来。以新理念引领一流本科课程建设。牢固树立“三个不合格”理念，竖起“高压线”，不抓本科教育的高校不是合格的高校，不重视本科教育的书记校长不是合格的书记校长，不参与本科教学的教授不是合格的教授。推动课程思政的理念形成广泛共识，构建全员全程全方位育人大格局。确立学生中心、产出导向、持续改进的理念，提升课程的高阶性，突出课程的创新性，增加课程的挑战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目标导向，课程优起来。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万人计划”专家、“长江学者奖励计划”入选者、国家杰出青年科学基金获得者等高层次人才建设名课、讲授基础课和专业基础课，建设一批中国特色、世界水平的一流本科课程。聚焦新工科、新医科、新农科、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三）提升能力，教师强起来。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学习全覆盖，推动教师培训常态化，将培训学分作为教师资格定期注册、教师考核的必备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四）改革方法，课堂活起来。以提升教学效果为目的创新教学方法。强化课堂设计，解决好怎么讲好课的问题，杜绝单纯知识传递、忽视能力素质培养的现象。强化现代信息技术与教育教学深度融合，解决好教与学模式创新的问题，杜绝信息技术应用的简单化、形式化。强化师生互动、生生互动，解决好创新性、批判性思维培养的问题，杜绝教师满堂灌、学生被动听的现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五）科学评价，学生忙起来。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课程学习的深度。加强非标准化、综合性等评价，提升课程学习的挑战性。“双一流”建设高校、部省合建高校要扩大学生课程学习选择面，强化课程难度与挑战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六）强化管理，制度严起来。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七）政策激励，教学热起来。以教学贡献为核心内容制定激励政策。加大课程建设的支持力度，加大优秀课程和教师的奖励力度，加大教学业绩在专业技术职务评聘中的权重，营造重视本科课程改革与建设的良好氛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三、实施一流本科课程双万计划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认定万门左右国家级一流本科课程。注重创新型、复合型、应用型人才培养课程建设的创新性、示范引领性和推广性，在高校培育建设基础上，从2019年到2021年，完成4000门左右国家级线上一流课程（国家精品在线开放课程）、4000门左右国家级线下一流课程、6000门左右国家级线上线下混合式一流课程、1500门左右国家虚拟仿真实验教学一流课程、1000门左右国家级社会实践一流课程认定工作，具体推荐认定办法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认定万门左右省级一流本科课程。各省级教育行政部门根据区域高等教育改革发展需求，参照本实施意见要求，具体组织实施本地区一流本科课程建设计划。推荐国家级一流课程，注重解决本地区高校长期存在的教育教学问题，因地制宜、因校制宜、因课制宜建设省级一流本科课程，并报我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四、组织管理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（一）教育部负责统筹指导一流本科课程建设工作，组织有关专家和机构研究制定一流本科课程建设、应用与管理的相关标准规范。公布国家级一流本科课程推荐认定结果。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省级教育行政部门研究制定省级一流本科课程建设实施方案，制定推动本地区一流本科课程建设与教学改革配套政策，建设省级一流本科课程。加强省级课程服务平台的管理，积极推动一流本科课程开放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三）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（四）高等学校教学指导委员会要加强课程建设理论研究和分类指导，组织制订相关专业一流本科课程建设指南，引导高校汇聚优秀教师联合建设课程群，共享优质课程资源。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（五）课程服务平台承担一流本科课程服务和数据安全保障的主体责任，配合开展课程审查和线上教学活动。要不断更新并提升技术和数据服务水平，监控和打击不良学习行为。加强课程平台间的交流与合作。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（六）中央部门所属高校统筹利用“中央高校教育教学改革专项”等各类资源支持一流本科课程建设。地方高校统筹地方财政高等教育资金和中央支持地方高校改革发展资金支持一流本科课程建设。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附件：“双万计划”国家级一流本科课程推荐认定办法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righ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2019年10月24日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eastAsia" w:ascii="微软雅黑" w:hAnsi="微软雅黑" w:eastAsia="微软雅黑" w:cs="微软雅黑"/>
          <w:color w:val="auto"/>
          <w:sz w:val="24"/>
          <w:szCs w:val="24"/>
        </w:rPr>
      </w:pPr>
      <w:r>
        <w:rPr>
          <w:rFonts w:hint="eastAsia" w:ascii="微软雅黑" w:hAnsi="微软雅黑" w:eastAsia="微软雅黑" w:cs="微软雅黑"/>
          <w:b/>
          <w:color w:val="auto"/>
          <w:sz w:val="24"/>
          <w:szCs w:val="24"/>
          <w:bdr w:val="none" w:color="auto" w:sz="0" w:space="0"/>
          <w:shd w:val="clear" w:fill="FFFFFF"/>
        </w:rPr>
        <w:t>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微软雅黑" w:hAnsi="微软雅黑" w:eastAsia="微软雅黑" w:cs="微软雅黑"/>
          <w:color w:val="auto"/>
          <w:sz w:val="24"/>
          <w:szCs w:val="24"/>
        </w:rPr>
      </w:pPr>
      <w:r>
        <w:rPr>
          <w:rFonts w:hint="eastAsia" w:ascii="微软雅黑" w:hAnsi="微软雅黑" w:eastAsia="微软雅黑" w:cs="微软雅黑"/>
          <w:b/>
          <w:color w:val="auto"/>
          <w:sz w:val="24"/>
          <w:szCs w:val="24"/>
          <w:bdr w:val="none" w:color="auto" w:sz="0" w:space="0"/>
          <w:shd w:val="clear" w:fill="FFFFFF"/>
        </w:rPr>
        <w:t>“双万计划”国家级一流本科课程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微软雅黑" w:hAnsi="微软雅黑" w:eastAsia="微软雅黑" w:cs="微软雅黑"/>
          <w:color w:val="auto"/>
          <w:sz w:val="24"/>
          <w:szCs w:val="24"/>
        </w:rPr>
      </w:pPr>
      <w:r>
        <w:rPr>
          <w:rFonts w:hint="eastAsia" w:ascii="微软雅黑" w:hAnsi="微软雅黑" w:eastAsia="微软雅黑" w:cs="微软雅黑"/>
          <w:b/>
          <w:color w:val="auto"/>
          <w:sz w:val="24"/>
          <w:szCs w:val="24"/>
          <w:bdr w:val="none" w:color="auto" w:sz="0" w:space="0"/>
          <w:shd w:val="clear" w:fill="FFFFFF"/>
        </w:rPr>
        <w:t>推荐认定办法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一、推荐范围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普通本科高校纳入人才培养方案且设置学分的本科课程均可推荐，包括思想政治理论课、公共基础课、专业基础课、专业课以及通识课等独立设置的本科理论课程、实验课程和社会实践课程等。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二、推荐类型与计划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线上一流课程。即国家精品在线开放课程，突出优质、开放、共享，打造中国慕课品牌。完成4000门左右国家精品在线开放课程认定，构建内容更加丰富、结构更加合理、类别更加全面的国家级精品慕课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线下一流课程。主要指以面授为主的课程，以提升学生综合能力为重点，重塑课程内容，创新教学方法，打破课堂沉默状态，焕发课堂生机活力，较好发挥课堂教学主阵地、主渠道、主战场作用。认定4000门左右国家级线下一流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三）线上线下混合式一流课程。主要指基于慕课、专属在线课程（SPOC）或其他在线课程，运用适当的数字化教学工具，结合本校实际对校内课程进行改造，安排20%—50%的教学时间实施学生线上自主学习，与线下面授有机结合开展翻转课堂、混合式教学，打造在线课程与本校课堂教学相融合的混合式“金课”。大力倡导基于国家精品在线开放课程应用的线上线下混合式优质课程申报。认定6000门左右国家级线上线下混合式一流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四）虚拟仿真实验教学一流课程。着力解决真实实验条件不具备或实际运行困难，涉及高危或极端环境，高成本、高消耗、不可逆操作、大型综合训练等问题。完成1500门左右国家虚拟仿真实验教学一流课程认定，形成专业布局合理、教学效果优良、开放共享有效的高等教育信息化实验教学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五）社会实践一流课程。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以上学时深入基层，保证课程规范化和可持续发展。认定1000门左右国家级社会实践一流课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三、推荐条件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（一）教学理念先进。坚持立德树人，体现以学生发展为中心，致力于开启学生内在潜力和学习动力，注重学生德智体美劳全面发展。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课程教学团队教学成果显著。课程团队教学改革意识强烈、理念先进，人员结构及任务分工合理。主讲教师具备良好的师德师风，具有丰富的教学经验、较高学术造诣，积极投身教学改革，教学能力强，能够运用新技术提高教学效率、提升教学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（三）课程目标有效支撑培养目标达成。课程目标符合学校办学定位和人才培养目标，注重知识、能力、素质培养。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（四）课程教学设计科学合理。围绕目标达成、教学内容、组织实施和多元评价需求进行整体规划，教学策略、教学方法、教学过程、教学评价等设计合理。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五）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（六）教学组织与实施突出学生中心地位。根据学生认知规律和接受特点，创新教与学模式，因材施教，促进师生之间、学生之间的交流互动、资源共享、知识生成，教学反馈及时，教学效果显著。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（七）课程管理与评价科学且可测量。教师备课要求明确，学生学习管理严格。针对教学目标、教学内容、教学组织等采用多元化考核评价，过程可回溯，诊断改进积极有效。教学过程材料完整，可借鉴可监督。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四、推荐方式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除线上一流课程、虚拟仿真实验教学一流课程继续按有关文件实施外，线下一流课程、线上线下混合式一流课程和社会实践一流课程采用以下推荐方式。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（一）推荐总额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教育部按照国家级线下一流课程、线上线下混合式一流课程和社会实践一流课程三年计划总数确定推荐总额，分别下达至中央部门所属高校和各省级教育行政部门。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（二）分赛道推荐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按照中央部门所属高校、地方高校的办学定位和培养目标特点分赛道推荐，名额分列。部省合建高校推荐课程纳入中央部门所属高校赛道。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（三）推荐方式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（四）推荐材料要求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课程团队须提交申报书、时长10分钟内的说课视频（包括教学理念、课程设计、课程实施、改革成效等）和其他佐证材料。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五、认定方式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教育部分年度组织专家对推荐课程进行认定，经公示后向社会发布。对课程团队成员存在师德师风问题、学术不端问题、五年内出现过重大教学事故，课程内容存在思想性科学性问题的，实行一票否决。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w:t>
      </w:r>
      <w:r>
        <w:rPr>
          <w:rFonts w:hint="eastAsia" w:ascii="微软雅黑" w:hAnsi="微软雅黑" w:eastAsia="微软雅黑" w:cs="微软雅黑"/>
          <w:b/>
          <w:color w:val="auto"/>
          <w:sz w:val="24"/>
          <w:szCs w:val="24"/>
          <w:bdr w:val="none" w:color="auto" w:sz="0" w:space="0"/>
          <w:shd w:val="clear" w:fill="FFFFFF"/>
        </w:rPr>
        <w:t>六、认定课程管理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bdr w:val="none" w:color="auto" w:sz="0" w:space="0"/>
          <w:shd w:val="clear" w:fill="FFFFFF"/>
        </w:rPr>
        <w:t>　　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33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character" w:customStyle="1" w:styleId="8">
    <w:name w:val="hover20"/>
    <w:basedOn w:val="5"/>
    <w:uiPriority w:val="0"/>
    <w:rPr>
      <w:color w:val="557EE7"/>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2019-11-26T07:47:37Z</dcterms:created>
  <dc:creator>Administrator</dc:creator>
  <cp:lastModifiedBy>兵兵的兜兜</cp:lastModifiedBy>
  <dcterms:modified xsi:type="dcterms:W3CDTF">2019-11-26T07:54:24Z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